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136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97" w:dyaOrig="1518">
          <v:rect xmlns:o="urn:schemas-microsoft-com:office:office" xmlns:v="urn:schemas-microsoft-com:vml" id="rectole0000000000" style="width:154.850000pt;height:75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786" w:dyaOrig="1093">
          <v:rect xmlns:o="urn:schemas-microsoft-com:office:office" xmlns:v="urn:schemas-microsoft-com:vml" id="rectole0000000001" style="width:189.300000pt;height:54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05"/>
        <w:gridCol w:w="4610"/>
      </w:tblGrid>
      <w:tr>
        <w:trPr>
          <w:trHeight w:val="1" w:hRule="atLeast"/>
          <w:jc w:val="left"/>
        </w:trPr>
        <w:tc>
          <w:tcPr>
            <w:tcW w:w="46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Заявка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1</w:t>
            </w:r>
          </w:p>
        </w:tc>
        <w:tc>
          <w:tcPr>
            <w:tcW w:w="46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Подана:15.03.2024 год  </w:t>
            </w:r>
          </w:p>
        </w:tc>
      </w:tr>
    </w:tbl>
    <w:p>
      <w:pPr>
        <w:keepNext w:val="true"/>
        <w:spacing w:before="240" w:after="0" w:line="276"/>
        <w:ind w:right="0" w:left="0" w:firstLine="0"/>
        <w:jc w:val="center"/>
        <w:rPr>
          <w:rFonts w:ascii="Cambria" w:hAnsi="Cambria" w:cs="Cambria" w:eastAsia="Cambria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Информация о проекте</w:t>
      </w:r>
    </w:p>
    <w:p>
      <w:pPr>
        <w:keepNext w:val="true"/>
        <w:spacing w:before="120" w:after="12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Тематика проекта</w:t>
      </w:r>
    </w:p>
    <w:p>
      <w:pPr>
        <w:keepLines w:val="true"/>
        <w:spacing w:before="0" w:after="12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Название проекта:приемная полка с навигацией для точной доставки продукции покупателю </w:t>
        <w:br/>
      </w:r>
    </w:p>
    <w:p>
      <w:pPr>
        <w:keepLines w:val="true"/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Название проекта на английском языке: a receiving shelf with navigation for accurate delivery of products to the buyer</w:t>
        <w:br/>
      </w:r>
    </w:p>
    <w:p>
      <w:pPr>
        <w:keepLines w:val="true"/>
        <w:spacing w:before="0" w:after="12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Описание конечного продукта: Команда разрабатывает полку с навигацией для приема коптера курьера.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Полка должна иметь крепления к наружной стене здания и излучать импульс геолокации.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После изготовления и испытания опытных образцов, полка должна выглядеть так: 1.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Полка для приема квадрокоптера должна продаваться в специализированном магазине.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Покупатель получает бесплатную услугу по установке полки от специалистов магазина.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Торговые точки, заинтересованные в продаже товаров с помощью коптера, также приобретают коптеры.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Коптер доставляет товары на полку, в специальном контейнере 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Пользователи могут отслеживать статус своего заказа через мобильное приложение.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Идея использования квадрокоптеров для доставки товаров из магазинов может стать реальностью в ближайшем будущем. Разработка прототипа: Прежде всего, команда должна создать прототип полки для приема коптера. Это поможет им понять, как именно будет использоваться полка, и выявить возможные проблемы. Тестирование: После создания прототипа его необходимо протестировать, чтобы убедиться в его работоспособности и эффективности. Получение инвестиций: Для дальнейшего развития проекта может потребоваться привлечение инвестиций. Вам нужно будет подготовить бизнес-план и представить его потенциальным инвесторам. Регистрация компании: Если вы планируете развивать проект на коммерческой основе, вам потребуется зарегистрировать компанию. Создание мобильного приложения: Вам потребуется разработать мобильное приложение, которое позволит пользователям отслеживать статус своих заказов. Маркетинг и продвижение: После запуска проекта вам потребуется активно продвигать его, чтобы привлечь больше пользователей и торговых точек. Используйте социальные сети, блоги, форумы и другие каналы для распространения информации о вашем проекте. Сотрудничество с магазинами: Вам нужно будет найти магазины, которые заинтересованы в продаже ваших полок и коптеров для доставки товаров. Обучение пользователей: Вам может потребоваться провести обучение для пользователей, чтобы помочь им правильно использовать полки для приема коптеров и мобильное приложение.</w:t>
      </w:r>
    </w:p>
    <w:p>
      <w:pPr>
        <w:keepLines w:val="true"/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проект Точка Навигации коптера курьера</w:t>
        <w:br/>
      </w:r>
    </w:p>
    <w:p>
      <w:pPr>
        <w:keepLines w:val="true"/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Требуется ли выполнение 2-го этапа (года) НИОКР?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</w:p>
    <w:p>
      <w:pPr>
        <w:keepLines w:val="true"/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Обоснование необходимости проведения НИОКР 2-го этапа (года)</w:t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Основное направление программы СТАРТ: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Н1. Цифровые технологии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Поднаправления: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Искусственный интеллект. Нейрокомпьютерные технологии и эволюционные алгоритмы.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Фокусная тематика: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Нейрокомпьютерные технологии и эволюционные алгоритмы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Приоритетные направления: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Информационно-телекоммуникационные системы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Ключевые слова: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нейронная сеть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Осуществление НИОКР в сфере спорта, городской среды, экологии, социального предпринимательства:</w:t>
        <w:br/>
        <w:t xml:space="preserve">городской среды,социального предпринимательства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Описание соответствия НИОКР сферам спорта, городской среды, экологии, социального предпринимательства:</w:t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Направление в рамках Стратегии научно-технологического развития Российской Федерации:Проект решает проблему предоставления потребителям улучшенного или нового продукта или услуги, которые будут отвечать их потребностям и предпочтениям. Потенциальный потребитель готов платить за продукт в зависимости от его ценности и конкурентоспособности на рынке.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Уровень готовности технологии TRL-1 означает, что фундаментальная концепция технологии сформулирована, но требуются дополнительные исследования и разработки для демонстрации ее технической осуществимости.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Уровень готовности к рынку MRL-1 указывает на то, что целевой рынок определен, но базовое исследование еще не проведено.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CRL-1 обозначает отсутствие проектной команды с закрепленными ролями и базовыми компетенциями.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IRL-1 - это уровень инвестиционной привлекательности, который указывает на проведение базовой оценки объема рынка и конкурентного анализа.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Проект не влияет на достижение или закрытие технологического суверенитета, и не относится к приоритетным направлениям НТИ. Основное ограничение проекта - это бизнес-модель.</w:t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Запрашиваемая сумма гранта (рублей):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3 000 000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Срок выполнения работ по проекту: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</w:t>
      </w:r>
    </w:p>
    <w:p>
      <w:pPr>
        <w:keepNext w:val="true"/>
        <w:spacing w:before="240" w:after="0" w:line="276"/>
        <w:ind w:right="0" w:left="0" w:firstLine="0"/>
        <w:jc w:val="center"/>
        <w:rPr>
          <w:rFonts w:ascii="Cambria" w:hAnsi="Cambria" w:cs="Cambria" w:eastAsia="Cambria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Информация о ЗАЯВИТЕЛЕ и участниках проекта</w:t>
      </w:r>
    </w:p>
    <w:p>
      <w:pPr>
        <w:keepNext w:val="true"/>
        <w:spacing w:before="120" w:after="12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Основные сведения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Тип заявителя: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Физическое лицо Старостин Иван Владимирович 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Руководитель (потенциальный) предприятия:</w:t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Научный руководитель проекта:</w:t>
        <w:br/>
      </w:r>
    </w:p>
    <w:p>
      <w:pPr>
        <w:keepNext w:val="true"/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Члены проектной команды:</w:t>
        <w:br/>
      </w:r>
    </w:p>
    <w:tbl>
      <w:tblPr>
        <w:tblInd w:w="30" w:type="dxa"/>
      </w:tblPr>
      <w:tblGrid>
        <w:gridCol w:w="1245"/>
        <w:gridCol w:w="2444"/>
        <w:gridCol w:w="1683"/>
        <w:gridCol w:w="2563"/>
      </w:tblGrid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Сотрудник</w:t>
            </w:r>
          </w:p>
        </w:tc>
        <w:tc>
          <w:tcPr>
            <w:tcW w:w="24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  <w:tc>
          <w:tcPr>
            <w:tcW w:w="1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в проекте</w:t>
            </w:r>
          </w:p>
        </w:tc>
        <w:tc>
          <w:tcPr>
            <w:tcW w:w="25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Опыт и квалификация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Научный руководитель</w:t>
            </w:r>
          </w:p>
        </w:tc>
        <w:tc>
          <w:tcPr>
            <w:tcW w:w="1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Ведущий инженер</w:t>
            </w:r>
          </w:p>
        </w:tc>
        <w:tc>
          <w:tcPr>
            <w:tcW w:w="1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Научный консультант</w:t>
            </w:r>
          </w:p>
        </w:tc>
        <w:tc>
          <w:tcPr>
            <w:tcW w:w="1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Научный консультант</w:t>
            </w:r>
          </w:p>
        </w:tc>
        <w:tc>
          <w:tcPr>
            <w:tcW w:w="1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2" w:type="dxa"/>
              <w:right w:w="2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Планы по привлечению новых специалистов: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проведения работ планируется использовать дополнительно  по договорам подряда</w:t>
        <w:br/>
        <w:t xml:space="preserve">1. Программист - 1 чел</w:t>
        <w:br/>
        <w:t xml:space="preserve">2. Стратегический менеджмент, стратегическое планирование. Управление и мотивация команд</w:t>
        <w:br/>
        <w:t xml:space="preserve">3.Константин Ремянников Руководитель отдела инжиниринга и прототипирования</w:t>
      </w:r>
    </w:p>
    <w:p>
      <w:pPr>
        <w:keepNext w:val="true"/>
        <w:spacing w:before="120" w:after="12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Для исполнителей по программе УМНИК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Подача заявки в рамках обязательств по программе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УМНИК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»: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Номер контракта и тема проекта по программе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УМНИК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» :</w:t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Роль исполнителя по программе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УМНИК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в заявке по программе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Старт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»: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Заполняется если выбранно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Иное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в поле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Роль исполнителя по программе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УМНИК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в заявке по программе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Старт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»:</w:t>
        <w:br/>
      </w:r>
    </w:p>
    <w:p>
      <w:pPr>
        <w:keepNext w:val="true"/>
        <w:spacing w:before="120" w:after="12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Информация о заявителе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Заявитель:</w:t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Дата регистрации предприятия:</w:t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Наличие в Едином реестре субъектов МСП:</w:t>
        <w:br/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Регион заявителя: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Красноярск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Выручка от реализации товаров (работ, услуг) за последний календарный год (рублей):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Среднесписочная численность сотрудников за последний календарный год, человек: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Профиль деятельности предприятия: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Заполняется если выбранно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Иное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в поле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Профиль деятельности предприятия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»:</w:t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Участник проекта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Сколково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»: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br/>
      </w:r>
    </w:p>
    <w:p>
      <w:pPr>
        <w:keepNext w:val="true"/>
        <w:spacing w:before="120" w:after="12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Учредители</w:t>
      </w:r>
    </w:p>
    <w:tbl>
      <w:tblPr/>
      <w:tblGrid>
        <w:gridCol w:w="1130"/>
        <w:gridCol w:w="5463"/>
        <w:gridCol w:w="2763"/>
      </w:tblGrid>
      <w:tr>
        <w:trPr>
          <w:trHeight w:val="1" w:hRule="atLeast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333333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FFFFFF" w:val="clear"/>
              </w:rPr>
              <w:t xml:space="preserve">п/п</w:t>
            </w:r>
          </w:p>
        </w:tc>
        <w:tc>
          <w:tcPr>
            <w:tcW w:w="5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Учредитель</w:t>
            </w: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FFFFFF" w:val="clear"/>
              </w:rPr>
              <w:t xml:space="preserve">Доля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Создано в соответствии с Федеральным законом от 2 августа 2009 г.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217-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ФЗ: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Учредитель компании по Федеральному закону от 2 августа 2009 г.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217-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ФЗ:</w:t>
        <w:br/>
      </w:r>
    </w:p>
    <w:p>
      <w:pPr>
        <w:keepNext w:val="true"/>
        <w:spacing w:before="240" w:after="0" w:line="276"/>
        <w:ind w:right="0" w:left="0" w:firstLine="0"/>
        <w:jc w:val="center"/>
        <w:rPr>
          <w:rFonts w:ascii="Cambria" w:hAnsi="Cambria" w:cs="Cambria" w:eastAsia="Cambria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Содержание проекта</w:t>
      </w:r>
    </w:p>
    <w:p>
      <w:pPr>
        <w:keepNext w:val="true"/>
        <w:spacing w:before="120" w:after="12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Аннотация проекта</w:t>
      </w:r>
    </w:p>
    <w:tbl>
      <w:tblPr/>
      <w:tblGrid>
        <w:gridCol w:w="9195"/>
      </w:tblGrid>
      <w:tr>
        <w:trPr>
          <w:trHeight w:val="1" w:hRule="atLeast"/>
          <w:jc w:val="left"/>
        </w:trPr>
        <w:tc>
          <w:tcPr>
            <w:tcW w:w="919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Команда которая способна решить комплекс задач по разработке и выпуску опытного образца полки с навигацией гео локации для приема коптера курьера.Суть проекта в том что бы изготовить полку которая должна иметь крепления к наружной ст   ене здания и излучать импульс геолокации для точной посадки коптера курьера.</w:t>
            </w:r>
          </w:p>
          <w:p>
            <w:pPr>
              <w:tabs>
                <w:tab w:val="left" w:pos="30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Полка коптера после изготовления и испытания опытных образцов, при внедрении на широкий рынок должно в теории и на практике выглядеть так: 1. Полка для приема курьера квадро коптера должна продаваться в специализированном магазине. Так же в связке с полкой должны иметься сопутствующие товары такие как коптеры,контейнеры для перевозки товаров коптерами, аккумуляторные батареи коптера и запчасти к приемной полке. 2.Покупатель который приобретает полку для приема квадрокоптера в обязательном порядке получает бесплатную услугу по установке полки от специалистов магазина. 3. Специалист или специальная бригада закрепляют полку в доступном и удобном для пользователя месте, на пример с наружной стороны балкона ,лоджии ,за створкой окна и т.д. Затем полку тестируют и вводят в эксплуатацию при этом каждая полка будет иметь свою точную точку гео локации . 4. Торговые точки заинтересованные в продаже своих товаров с помощью курьера коптера,так же приобретают в специализированном магазине нужное количество квадро коптеров и при этом получают доступ к координатам гео локации приемных полок своего района ,в пределах двух или трех километров радиусом. 5. В общем картина получается такая: При помощи приложения потребитель заказывает и оплачивает товар в той или иной торговой точке, а оператор упаковывает товар в специальный герметичный контейнер и отправляет его при помощи квадро коптера курьера на заданную гео локацией полку. Таким образом торговая точка имеет выручку , а покупатель нужный ему товар или продукт.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spacing w:before="120" w:after="12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Научно-техническая часть проекта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Новизна предлагаемых в инновационном проекте решений:унекальны</w:t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Способы и методы решения поставленных задач НИОКР:Заключение эксперта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Анастасия Сапрыкина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19 февр. 2024 в 19:37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Эксперт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Рекомендовано провести исследование потребительских предпочтений, рассмотреть проект через бизнес-модель Остервальдера, сформировать ценностное предложение и оценить объемы рынка. Какую и чтю проблему решает проект и сколько потенциальный потребитель готов платить за продукт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Уровень готовности технологии (TRL)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TRL-1. Сформулирована фундаментальная концепция технологии.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Уровень готовности к рынку (MRL)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MRL-1. Определен целевой рынок, выполнено базовое исследование рынка.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Уровень команды (CRL)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CRL-1. Нет проектной команды (нет закрепленных ролей, отсутствуют базовые компетенции).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Уровень инвестиционной привлекательности (IRL)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IRL-1. FFF Выполнена базовая оценка объема рынка, проведен конкурентный анализ, оценены первоначальные показатели бизнес-плана, выработана стратегия защиты интеллектуальной собственности.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Новизна идеи (актуальность)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Модернизация, незначительное улучшение существующего продукта/технологии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Влияние на достижение/закрытие технологического суверенитета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Не влияет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Приоритетное направление НТИ, к которому относится проект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Беспилотные авиационные системы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Основное ограничение проекта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Бизнес-модель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(Выходная оценка) Уровень готовности технологии (TRL)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Сформулирована фундаментальная концепция технологии.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(Выходная оценка) Уровень готовности к рынку (MRL)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Определен целевой рынок, выполнено базовое исследование рынка.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(Выходная оценка) Уровень команды (CRL)</w:t>
        <w:tab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Нет проектной команды (нет закрепленных ролей, отсутствуют базовые компетенции).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(Выходная оценка) Уровень инвестиционной привлекательности (IRL)</w:t>
        <w:tab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FFF Выполнена базовая оценка объема рынка, проведен конкурентный анализ, оценены первоначальные показатели бизнес-плана, выработана стратегия защиты интеллектуальной собственности.</w:t>
        <w:br/>
        <w:t xml:space="preserve">Заключение эксперта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Леонид Арасланов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22 февр. 2024 в 15:49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Эксперт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Необходимо оформить идею в виде понятной презентации, не хватает артефактов (гипотеза проблемы, ценности, бизнес модель, анализ рынка и конкурентов, ЦА, дорожная карта и юнитэкономика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Уровень готовности технологии (TRL)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TRL-1. Сформулирована фундаментальная концепция технологии.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Уровень готовности к рынку (MRL)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MRL-1. Определен целевой рынок, выполнено базовое исследование рынка.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Уровень команды (CRL)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CRL-1. Нет проектной команды (нет закрепленных ролей, отсутствуют базовые компетенции).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Уровень инвестиционной привлекательности (IRL)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IRL-1. FFF Выполнена базовая оценка объема рынка, проведен конкурентный анализ, оценены первоначальные показатели бизнес-плана, выработана стратегия защиты интеллектуальной собственности.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Новизна идеи (актуальность)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Создание абсолютно нового продукта/технологии для широкого круга потребителей. Создаваемое решение состоит полностью из элементов и систем собственной разработки.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Влияние на достижение/закрытие технологического суверенитета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Не влияет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Приоритетное направление НТИ, к которому относится проект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Беспилотные авиационные системы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Основное ограничение проекта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Стадия идеи. Нет подтверждений проблемы, подтверждения ценности, оценки конкуернтов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(Выходная оценка) Уровень готовности технологии (TRL)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Сформулирована фундаментальная концепция технологии.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(Выходная оценка) Уровень готовности к рынку (MRL)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Определен целевой рынок, выполнено базовое исследование рынка.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(Выходная оценка) Уровень команды (CRL)</w:t>
        <w:tab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Нет проектной команды (нет закрепленных ролей, отсутствуют базовые компетенции).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(Выходная оценка) Уровень инвестиционной привлекательности (IRL)</w:t>
        <w:tab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FFF Выполнена базовая оценка объема рынка, проведен конкурентный анализ, оценены первоначальные показатели бизнес-плана, выработана стратегия защиты интеллектуальной собственности.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Основное ограничение проекта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нужно структурно изложить идею</w:t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Задел по тематике проекта: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настоящее время разрабатываются чертежи макета приемной полки коптера курьера …</w:t>
      </w:r>
    </w:p>
    <w:p>
      <w:pPr>
        <w:keepNext w:val="true"/>
        <w:spacing w:before="120" w:after="12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Перспективы коммерциализации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Конкурентные преимущества создаваемого продукта, сравнение технико-экономических характеристик с основными аналогами, в том числе мировыми: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Целевые потребительские сегменты (рынки) создаваемого продукта, их объемы, динамика и потенциал развития:Ценности: Предлагаемая технология призвана обеспечить высокий уровень качества, надежности и безопасности для пользователей, а также способствовать развитию и продвижению отечественных инноваций на мировом рынке.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Бизнес модель: Проект предполагает создание компании, специализирующейся на разработке и производстве инновационных продуктов и технологий, с последующей продажей лицензий и готовых решений на международном рынке.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Анализ рынка и конкурентов: Рынок беспилотных авиационных систем является одним из наиболее динамично развивающихся и перспективных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Описание бизнес-модели проекта и стратегии продвижения продукта на рынок: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Техническое задание на выполнение НИОКР</w:t>
      </w:r>
    </w:p>
    <w:p>
      <w:pPr>
        <w:keepNext w:val="true"/>
        <w:spacing w:before="120" w:after="12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Техническое задание на выполнение НИОКР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Цель выполнения НИОКР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Основной целью выполнения работы является разработка, обучение и проверка работоспособности…..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Назначение научно-технического продукта (изделия и т.п.)</w:t>
        <w:br/>
      </w:r>
    </w:p>
    <w:p>
      <w:pPr>
        <w:keepNext w:val="true"/>
        <w:pageBreakBefore w:val="true"/>
        <w:spacing w:before="120" w:after="120" w:line="276"/>
        <w:ind w:right="0" w:left="0" w:firstLine="0"/>
        <w:jc w:val="center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Технические требования к научно-техническому продукту (прототипу, опытному образцу), который должен быть разработан в рамках текущего этапа выполнения НИОКР</w:t>
      </w:r>
    </w:p>
    <w:p>
      <w:pPr>
        <w:keepNext w:val="true"/>
        <w:spacing w:before="120" w:after="12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Основные технические параметры, определяющие функциональные, количественные (числовые) и качественные характеристики научно-технического продукта, полученного в результате выполнения текущего этап НИОКР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Функции, выполнение которых должен обеспечивать разрабатываемый научно-технический продукт</w:t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Количественные параметры, определяющие выполнение научно-техническим продуктом своих функций</w:t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Входные воздействия, необходимые для выполнения научно-техническим продуктом заданных функций</w:t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Выходные реакции, обеспечиваемые научно-техническим продуктом в результате выполнения своих функций</w:t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120" w:after="12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Конструктивные требования к научно-техническому продукту, который должен быть получен в результате выполнения текущего этап НИОКР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Требования к конструкции и составным частям научно-технического продукта</w:t>
        <w:br/>
        <w:t xml:space="preserve">Полка с навигацией для коптера курьера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Система состоит из полки, мобильного приложения и серверной части коптер, контейнер, пусковая площадка в торговой точке.</w:t>
        <w:br/>
        <w:t xml:space="preserve">Мобильное приложение ….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Требования к массогабаритным характеристикам научно-технического продукта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Требований нет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Вид исполнения, товарные формы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Система выполняется в виде приложения под управлением ОС Андроид для мобильного приложения и комплекса программ по управлением ОС Windows.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Требования к мощностным характеристикам научно-технического продукта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по потребляемой/производимой энергии</w:t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Требования к удельным характеристикам научно-технического продукта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на единицу производимой продукции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для машин и аппаратов</w:t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Требования к аппаратной части программных комплексов</w:t>
        <w:br/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Условия эксплуатации, использования научно-технического продукта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 эксплуатации соответствуют условиям работы конкретного мобильного устройства принадлежащего конечному пользователю.</w:t>
      </w:r>
    </w:p>
    <w:p>
      <w:pPr>
        <w:keepNext w:val="true"/>
        <w:spacing w:before="120" w:after="12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Иные требования к научно-техническому продукту (прототипу, опытному образцу), который должен быть разработан в рамках текущего этапа выполнения НИОКР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Требования по патентной охране</w:t>
        <w:br/>
        <w:t xml:space="preserve"> оформить патент на изобретение еще в стадии разработки идеи полки приемника для квадрокоптера курьера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Регистрация программы для ЭВМ.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Перечень основных категорий комплектующих и материалов (входящих в состав разрабатываемого продукта (изделия) или используемых в процессе его разработки и изготовления) </w:t>
        <w:br/>
        <w:t xml:space="preserve">Сквозные технологии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Искусственный интеллект, Коллаборативные технологии, Новые производственные технологии, Аддитивные технологии, Технологии беспроводной связи и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интернета вещей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keepLine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Отчетность по НИОКР (перечень технической документации, разрабатываемой в процессе выполнения текущего этапа НИОКР)</w:t>
        <w:br/>
      </w:r>
    </w:p>
    <w:p>
      <w:pPr>
        <w:keepNext w:val="true"/>
        <w:spacing w:before="240" w:after="0" w:line="276"/>
        <w:ind w:right="0" w:left="0" w:firstLine="0"/>
        <w:jc w:val="center"/>
        <w:rPr>
          <w:rFonts w:ascii="Cambria" w:hAnsi="Cambria" w:cs="Cambria" w:eastAsia="Cambria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Бесшовная поддержка проектов</w:t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Платформа НТИ</w:t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Участвовал ли кто-либо из членов проектной команды в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Акселерационно-образовательные интенсивах по формированию и преакселерации команд: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Участвовал ли кто-либо из членов проектной команды в программах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Диагностика и формирование компетентностного профиля человека / команды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»: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</w:t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Перечень членов проектной команды, участвовавших в программах Leader ID и АНО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Платформа НТИ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»:</w:t>
        <w:br/>
      </w:r>
    </w:p>
    <w:tbl>
      <w:tblPr/>
      <w:tblGrid>
        <w:gridCol w:w="846"/>
        <w:gridCol w:w="5294"/>
        <w:gridCol w:w="3070"/>
      </w:tblGrid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5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ФИО</w:t>
            </w:r>
          </w:p>
        </w:tc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LeaderId</w:t>
            </w:r>
          </w:p>
        </w:tc>
      </w:tr>
    </w:tbl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Старостин Иван Владимирович      #78000                                                    ЛИДЕР                           </w:t>
        <w:br/>
        <w:t xml:space="preserve">Алекcей Блинков Красноярск U446630                                                   участник</w:t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Максим Аношин Екатеринбург U37968                                              участник</w:t>
        <w:br/>
        <w:t xml:space="preserve">Комментарий:</w:t>
        <w:br/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Фонд Сколково</w:t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Заявителю присвоен статус участника проекта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Сколково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»</w:t>
        <w:br/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Предоставление заявителю грантов в рамках грантовых программ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Сколково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»: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</w:t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Заявитель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участник корпоративной акселерационной программы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Сколково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»: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</w:t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Комментарий:</w:t>
        <w:br/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РФПИ (РВК)</w:t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Заявителю предоставлены инвестиции со стороны венчурных фондов РВК: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</w:t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Комментарий:</w:t>
        <w:br/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ФИОП</w:t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Заявителю предоставлена финансовая поддержка от ФИОП: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</w:t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Заявителю предоставлена поддержка в рамках образовательных проектов ФИОП: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</w:t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Заявителю предоставлена нормативно-техническая поддержка со стороны ФИОП: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</w:t>
      </w:r>
    </w:p>
    <w:p>
      <w:pPr>
        <w:keepNext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Комментарий:</w:t>
        <w:br/>
      </w:r>
    </w:p>
    <w:p>
      <w:pPr>
        <w:keepNext w:val="true"/>
        <w:spacing w:before="240" w:after="0" w:line="276"/>
        <w:ind w:right="0" w:left="0" w:firstLine="0"/>
        <w:jc w:val="center"/>
        <w:rPr>
          <w:rFonts w:ascii="Cambria" w:hAnsi="Cambria" w:cs="Cambria" w:eastAsia="Cambria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Календарный план и смета</w:t>
      </w:r>
    </w:p>
    <w:p>
      <w:pPr>
        <w:keepNext w:val="true"/>
        <w:spacing w:before="120" w:after="12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Календарный план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Календарный план выполнения НИОКР. 1-й годовой этап проекта:</w:t>
      </w:r>
    </w:p>
    <w:tbl>
      <w:tblPr/>
      <w:tblGrid>
        <w:gridCol w:w="683"/>
        <w:gridCol w:w="5529"/>
        <w:gridCol w:w="1275"/>
        <w:gridCol w:w="2100"/>
      </w:tblGrid>
      <w:tr>
        <w:trPr>
          <w:trHeight w:val="982" w:hRule="auto"/>
          <w:jc w:val="center"/>
        </w:trPr>
        <w:tc>
          <w:tcPr>
            <w:tcW w:w="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этапа</w:t>
            </w: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Название этапа календарного плана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Длительность этапа, мес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Стоимость, руб.</w:t>
            </w:r>
          </w:p>
        </w:tc>
      </w:tr>
      <w:tr>
        <w:trPr>
          <w:trHeight w:val="1134" w:hRule="auto"/>
          <w:jc w:val="center"/>
        </w:trPr>
        <w:tc>
          <w:tcPr>
            <w:tcW w:w="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создать прототип полки для приема коптера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center"/>
        </w:trPr>
        <w:tc>
          <w:tcPr>
            <w:tcW w:w="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После создания прототипа его необходимо протестировать, чтобы убедиться в его работоспособности и эффективности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center"/>
        </w:trPr>
        <w:tc>
          <w:tcPr>
            <w:tcW w:w="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Line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120" w:after="12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8"/>
          <w:u w:val="single"/>
          <w:shd w:fill="auto" w:val="clear"/>
        </w:rPr>
        <w:t xml:space="preserve">Смета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Смета затрат на реализацию проекта:</w:t>
      </w:r>
    </w:p>
    <w:tbl>
      <w:tblPr/>
      <w:tblGrid>
        <w:gridCol w:w="9464"/>
      </w:tblGrid>
      <w:tr>
        <w:trPr>
          <w:trHeight w:val="3042" w:hRule="auto"/>
          <w:jc w:val="left"/>
        </w:trPr>
        <w:tc>
          <w:tcPr>
            <w:tcW w:w="9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988"/>
              <w:gridCol w:w="8255"/>
            </w:tblGrid>
            <w:tr>
              <w:trPr>
                <w:trHeight w:val="3042" w:hRule="auto"/>
                <w:jc w:val="left"/>
              </w:trPr>
              <w:tc>
                <w:tcPr>
                  <w:tcW w:w="9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Segoe UI Symbol" w:hAnsi="Segoe UI Symbol" w:cs="Segoe UI Symbol" w:eastAsia="Segoe UI Symbo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№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п/п</w:t>
                  </w:r>
                </w:p>
              </w:tc>
              <w:tc>
                <w:tcPr>
                  <w:tcW w:w="825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Наименование статей расходов:</w:t>
                  </w:r>
                </w:p>
              </w:tc>
            </w:tr>
            <w:tr>
              <w:trPr>
                <w:trHeight w:val="3042" w:hRule="auto"/>
                <w:jc w:val="left"/>
              </w:trPr>
              <w:tc>
                <w:tcPr>
                  <w:tcW w:w="9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825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Заработная плата</w:t>
                  </w:r>
                </w:p>
              </w:tc>
            </w:tr>
            <w:tr>
              <w:trPr>
                <w:trHeight w:val="3042" w:hRule="auto"/>
                <w:jc w:val="left"/>
              </w:trPr>
              <w:tc>
                <w:tcPr>
                  <w:tcW w:w="9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825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Начисление на заработную плату</w:t>
                  </w:r>
                </w:p>
              </w:tc>
            </w:tr>
            <w:tr>
              <w:trPr>
                <w:trHeight w:val="3042" w:hRule="auto"/>
                <w:jc w:val="left"/>
              </w:trPr>
              <w:tc>
                <w:tcPr>
                  <w:tcW w:w="9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825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Материалы</w:t>
                  </w:r>
                </w:p>
              </w:tc>
            </w:tr>
            <w:tr>
              <w:trPr>
                <w:trHeight w:val="3042" w:hRule="auto"/>
                <w:jc w:val="left"/>
              </w:trPr>
              <w:tc>
                <w:tcPr>
                  <w:tcW w:w="9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825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Оплата работ соисполнителей и сторонних организаций</w:t>
                  </w:r>
                </w:p>
              </w:tc>
            </w:tr>
            <w:tr>
              <w:trPr>
                <w:trHeight w:val="3042" w:hRule="auto"/>
                <w:jc w:val="left"/>
              </w:trPr>
              <w:tc>
                <w:tcPr>
                  <w:tcW w:w="9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825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Прочие общехозяйственные расходы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